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01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01B">
        <w:rPr>
          <w:rFonts w:ascii="Times New Roman" w:hAnsi="Times New Roman" w:cs="Times New Roman"/>
          <w:b/>
          <w:bCs/>
          <w:sz w:val="24"/>
          <w:szCs w:val="24"/>
        </w:rPr>
        <w:t>ЗАПОЛНЕНИЯ КНИГИ УЧЕТА ДОХОДОВ ИНДИВИДУАЛЬНЫХ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01B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ПРЕДПРИНИМАТЕЛЕЙ, ПРИМЕНЯЮЩИХ </w:t>
      </w:r>
      <w:proofErr w:type="gramStart"/>
      <w:r w:rsidRPr="00AD301B">
        <w:rPr>
          <w:rFonts w:ascii="Times New Roman" w:hAnsi="Times New Roman" w:cs="Times New Roman"/>
          <w:b/>
          <w:bCs/>
          <w:sz w:val="24"/>
          <w:szCs w:val="24"/>
        </w:rPr>
        <w:t>ПАТЕНТНУЮ</w:t>
      </w:r>
      <w:proofErr w:type="gramEnd"/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01B">
        <w:rPr>
          <w:rFonts w:ascii="Times New Roman" w:hAnsi="Times New Roman" w:cs="Times New Roman"/>
          <w:b/>
          <w:bCs/>
          <w:sz w:val="24"/>
          <w:szCs w:val="24"/>
        </w:rPr>
        <w:t>СИСТЕМУ НАЛОГООБЛОЖЕНИЯ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>I. Общие требования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D301B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предприниматели, применяющие патентную систему налогообложения (далее - налогоплательщики), ведут </w:t>
      </w:r>
      <w:hyperlink r:id="rId4" w:history="1">
        <w:r w:rsidRPr="00AD301B">
          <w:rPr>
            <w:rFonts w:ascii="Times New Roman" w:hAnsi="Times New Roman" w:cs="Times New Roman"/>
            <w:sz w:val="24"/>
            <w:szCs w:val="24"/>
          </w:rPr>
          <w:t>Книгу</w:t>
        </w:r>
      </w:hyperlink>
      <w:r w:rsidRPr="00AD301B">
        <w:rPr>
          <w:rFonts w:ascii="Times New Roman" w:hAnsi="Times New Roman" w:cs="Times New Roman"/>
          <w:sz w:val="24"/>
          <w:szCs w:val="24"/>
        </w:rPr>
        <w:t xml:space="preserve"> учета доходов индивидуальных предпринимателей, применяющих патентную систему налогообложения (далее - Книга учета доходов), в которой в хронологической последовательности на основе первичных документов позиционным способом отражают все хозяйственные операции, связанные с получением доходов от реализации, в налоговом периоде (периоде, на который получен патент).</w:t>
      </w:r>
      <w:proofErr w:type="gramEnd"/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>1.2. Налогоплательщики должны обеспечивать полноту, непрерывность и достоверность учета доходов от реализации, получаемых в связи с осуществлением видов предпринимательской деятельности, налогообложение которых осуществляется по патентной системе налогообложения.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>1.3. Ведение Книги учета доходов осуществляется на русском языке. Первичные учетные документы, составленные на иностранном языке или языках народов Российской Федерации, должны иметь построчный перевод на русский язык.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>1.4. Книга учета доходов может вестись как на бумажных носителях, так и в электронном виде. При ведении Книги учета доходов в электронном виде налогоплательщики обязаны по окончании налогового периода вывести ее на бумажные носители. На каждый очередной налоговый период открывается новая Книга учета доходов.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 xml:space="preserve">1.5. </w:t>
      </w:r>
      <w:hyperlink r:id="rId5" w:history="1">
        <w:r w:rsidRPr="00AD301B">
          <w:rPr>
            <w:rFonts w:ascii="Times New Roman" w:hAnsi="Times New Roman" w:cs="Times New Roman"/>
            <w:sz w:val="24"/>
            <w:szCs w:val="24"/>
          </w:rPr>
          <w:t>Книга</w:t>
        </w:r>
      </w:hyperlink>
      <w:r w:rsidRPr="00AD301B">
        <w:rPr>
          <w:rFonts w:ascii="Times New Roman" w:hAnsi="Times New Roman" w:cs="Times New Roman"/>
          <w:sz w:val="24"/>
          <w:szCs w:val="24"/>
        </w:rPr>
        <w:t xml:space="preserve"> учета доходов должна быть прошнурована и пронумерована. На последней странице пронумерованной и прошнурованной налогоплательщиком Книги учета доходов указывается количество содержащихся в ней страниц, которое подтверждается подписью налогоплательщика и скрепляется печатью налогоплательщика (при ее наличии).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 xml:space="preserve">На последней странице, пронумерованной и прошнурованной налогоплательщиком </w:t>
      </w:r>
      <w:hyperlink r:id="rId6" w:history="1">
        <w:r w:rsidRPr="00AD301B">
          <w:rPr>
            <w:rFonts w:ascii="Times New Roman" w:hAnsi="Times New Roman" w:cs="Times New Roman"/>
            <w:sz w:val="24"/>
            <w:szCs w:val="24"/>
          </w:rPr>
          <w:t>Книги</w:t>
        </w:r>
      </w:hyperlink>
      <w:r w:rsidRPr="00AD301B">
        <w:rPr>
          <w:rFonts w:ascii="Times New Roman" w:hAnsi="Times New Roman" w:cs="Times New Roman"/>
          <w:sz w:val="24"/>
          <w:szCs w:val="24"/>
        </w:rPr>
        <w:t xml:space="preserve"> учета доходов, которая велась в электронном виде и выведена по окончании налогового периода на бумажные носители, указывается количество содержащихся в ней страниц, которое подтверждается подписью налогоплательщика и скрепляется печатью налогоплательщика (при ее наличии).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>1.6. Исправление ошибок в Книге учета доходов должно быть обоснованно и подтверждено подписью налогоплательщика с указанием даты исправления и печатью налогоплательщика (при ее наличии).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 xml:space="preserve">II. Порядок заполнения </w:t>
      </w:r>
      <w:hyperlink r:id="rId7" w:history="1">
        <w:r w:rsidRPr="00AD301B">
          <w:rPr>
            <w:rFonts w:ascii="Times New Roman" w:hAnsi="Times New Roman" w:cs="Times New Roman"/>
            <w:sz w:val="24"/>
            <w:szCs w:val="24"/>
          </w:rPr>
          <w:t>раздела I</w:t>
        </w:r>
      </w:hyperlink>
      <w:r w:rsidRPr="00AD301B">
        <w:rPr>
          <w:rFonts w:ascii="Times New Roman" w:hAnsi="Times New Roman" w:cs="Times New Roman"/>
          <w:sz w:val="24"/>
          <w:szCs w:val="24"/>
        </w:rPr>
        <w:t xml:space="preserve"> "Доходы"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>2.1. В графе 1 указывается порядковый номер регистрируемой операции.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>2.2. В графе 2 указывается дата и номер первичного документа, на основании которого осуществлена регистрируемая операция.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>2.3. В графе 3 указывается содержание регистрируемой операции.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 xml:space="preserve">2.4. В графе 4 отражаются доходы от реализации, полученные в связи с осуществлением предпринимательской деятельности, указанной в патенте, и определяемые в соответствии со </w:t>
      </w:r>
      <w:hyperlink r:id="rId8" w:history="1">
        <w:r w:rsidRPr="00AD301B">
          <w:rPr>
            <w:rFonts w:ascii="Times New Roman" w:hAnsi="Times New Roman" w:cs="Times New Roman"/>
            <w:sz w:val="24"/>
            <w:szCs w:val="24"/>
          </w:rPr>
          <w:t>статьей 249</w:t>
        </w:r>
      </w:hyperlink>
      <w:r w:rsidRPr="00AD301B">
        <w:rPr>
          <w:rFonts w:ascii="Times New Roman" w:hAnsi="Times New Roman" w:cs="Times New Roman"/>
          <w:sz w:val="24"/>
          <w:szCs w:val="24"/>
        </w:rPr>
        <w:t xml:space="preserve"> Кодекса. Порядок определения, признания и учета доходов от реализации при патентной системе налогообложения установлен </w:t>
      </w:r>
      <w:hyperlink r:id="rId9" w:history="1">
        <w:r w:rsidRPr="00AD301B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AD301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AD301B">
          <w:rPr>
            <w:rFonts w:ascii="Times New Roman" w:hAnsi="Times New Roman" w:cs="Times New Roman"/>
            <w:sz w:val="24"/>
            <w:szCs w:val="24"/>
          </w:rPr>
          <w:t>5 статьи 346.53</w:t>
        </w:r>
      </w:hyperlink>
      <w:r w:rsidRPr="00AD301B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AD301B" w:rsidRPr="00AD301B" w:rsidRDefault="00AD301B" w:rsidP="00AD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01B">
        <w:rPr>
          <w:rFonts w:ascii="Times New Roman" w:hAnsi="Times New Roman" w:cs="Times New Roman"/>
          <w:sz w:val="24"/>
          <w:szCs w:val="24"/>
        </w:rPr>
        <w:t>В графе 4 не учитываются доходы, полученные по иным видам предпринимательской деятельности, налогообложение которых осуществляется в соответствии с иными режимами налогообложения.</w:t>
      </w:r>
    </w:p>
    <w:p w:rsidR="00823F87" w:rsidRDefault="00823F87"/>
    <w:sectPr w:rsidR="00823F87" w:rsidSect="00A0286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301B"/>
    <w:rsid w:val="001F35C4"/>
    <w:rsid w:val="00823F87"/>
    <w:rsid w:val="00AD301B"/>
    <w:rsid w:val="00C7236E"/>
    <w:rsid w:val="00FA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5D35DEC9BB5E0A6A763AD5139AD55C32B1FA7D384601EC87A1C5839D51A8DF63B5C9BBC99F70AEtDM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5D35DEC9BB5E0A6A763AD5139AD55C31B2F378324601EC87A1C5839D51A8DF63B5C9BBC99E7AAAtDM7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D35DEC9BB5E0A6A763AD5139AD55C31B2F378324601EC87A1C5839D51A8DF63B5C9BBC99E7AA8tDM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35D35DEC9BB5E0A6A763AD5139AD55C31B2F378324601EC87A1C5839D51A8DF63B5C9BBC99E7AA8tDMCL" TargetMode="External"/><Relationship Id="rId10" Type="http://schemas.openxmlformats.org/officeDocument/2006/relationships/hyperlink" Target="consultantplus://offline/ref=C35D35DEC9BB5E0A6A763AD5139AD55C32B1FA7D384601EC87A1C5839D51A8DF63B5C9BDC19Bt7M8L" TargetMode="External"/><Relationship Id="rId4" Type="http://schemas.openxmlformats.org/officeDocument/2006/relationships/hyperlink" Target="consultantplus://offline/ref=C35D35DEC9BB5E0A6A763AD5139AD55C31B2F378324601EC87A1C5839D51A8DF63B5C9BBC99E7AA8tDMCL" TargetMode="External"/><Relationship Id="rId9" Type="http://schemas.openxmlformats.org/officeDocument/2006/relationships/hyperlink" Target="consultantplus://offline/ref=C35D35DEC9BB5E0A6A763AD5139AD55C32B1FA7D384601EC87A1C5839D51A8DF63B5C9BDC19At7M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2</cp:revision>
  <dcterms:created xsi:type="dcterms:W3CDTF">2017-01-24T11:13:00Z</dcterms:created>
  <dcterms:modified xsi:type="dcterms:W3CDTF">2017-01-24T11:13:00Z</dcterms:modified>
</cp:coreProperties>
</file>