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01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01B">
        <w:rPr>
          <w:rFonts w:ascii="Times New Roman" w:hAnsi="Times New Roman" w:cs="Times New Roman"/>
          <w:b/>
          <w:bCs/>
          <w:sz w:val="24"/>
          <w:szCs w:val="24"/>
        </w:rPr>
        <w:t>ЗАПОЛНЕНИЯ КНИГИ УЧЕТА ДОХОДОВ ИНДИВИДУАЛЬНЫХ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01B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ПРЕДПРИНИМАТЕЛЕЙ, ПРИМЕНЯЮЩИХ </w:t>
      </w:r>
      <w:proofErr w:type="gramStart"/>
      <w:r w:rsidRPr="00AD301B">
        <w:rPr>
          <w:rFonts w:ascii="Times New Roman" w:hAnsi="Times New Roman" w:cs="Times New Roman"/>
          <w:b/>
          <w:bCs/>
          <w:sz w:val="24"/>
          <w:szCs w:val="24"/>
        </w:rPr>
        <w:t>ПАТЕНТНУЮ</w:t>
      </w:r>
      <w:proofErr w:type="gramEnd"/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01B">
        <w:rPr>
          <w:rFonts w:ascii="Times New Roman" w:hAnsi="Times New Roman" w:cs="Times New Roman"/>
          <w:b/>
          <w:bCs/>
          <w:sz w:val="24"/>
          <w:szCs w:val="24"/>
        </w:rPr>
        <w:t>СИСТЕМУ НАЛОГООБЛОЖЕНИЯ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I. Общие требования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301B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применяющие патентную систему налогообложения (далее - налогоплательщики), ведут </w:t>
      </w:r>
      <w:hyperlink r:id="rId4" w:history="1">
        <w:r w:rsidRPr="00AD301B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учета доходов индивидуальных предпринимателей, применяющих патентную систему налогообложения (далее - Книга учета доходов), в которой в хронологической последовательности на основе первичных документов позиционным способом отражают все хозяйственные операции, связанные с получением доходов от реализации, в налоговом периоде (периоде, на который получен патент).</w:t>
      </w:r>
      <w:proofErr w:type="gramEnd"/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1.2. Налогоплательщики должны обеспечивать полноту, непрерывность и достоверность учета доходов от реализации, получаемых в связи с осуществлением видов предпринимательской деятельности, налогообложение которых осуществляется по патентной системе налогообложения.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1.3. Ведение Книги учета доходов осуществляется на русском языке. Первичные учетные документы, составленные на иностранном языке или языках народов Российской Федерации, должны иметь построчный перевод на русский язык.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1.4. Книга учета доходов может вестись как на бумажных носителях, так и в электронном виде. При ведении Книги учета доходов в электронном виде налогоплательщики обязаны по окончании налогового периода вывести ее на бумажные носители. На каждый очередной налоговый период открывается новая Книга учета доходов.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5" w:history="1">
        <w:r w:rsidRPr="00AD301B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учета доходов должна быть прошнурована и пронумерована. На последней странице пронумерованной и прошнурованной налогоплательщиком Книги учета доходов указывается количество содержащихся в ней страниц, которое подтверждается подписью налогоплательщика и скрепляется печатью налогоплательщика (при ее наличии).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 xml:space="preserve">На последней странице, пронумерованной и прошнурованной налогоплательщиком </w:t>
      </w:r>
      <w:hyperlink r:id="rId6" w:history="1">
        <w:r w:rsidRPr="00AD301B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учета доходов, которая велась в электронном виде и выведена по окончании налогового периода на бумажные носители, указывается количество содержащихся в ней страниц, которое подтверждается подписью налогоплательщика и скрепляется печатью налогоплательщика (при ее наличии).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1.6. Исправление ошибок в Книге учета доходов должно быть обоснованно и подтверждено подписью налогоплательщика с указанием даты исправления и печатью налогоплательщика (при ее наличии).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 xml:space="preserve">II. Порядок заполнения </w:t>
      </w:r>
      <w:hyperlink r:id="rId7" w:history="1">
        <w:r w:rsidRPr="00AD301B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"Доходы"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2.1. В графе 1 указывается порядковый номер регистрируемой операции.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2.2. В графе 2 указывается дата и номер первичного документа, на основании которого осуществлена регистрируемая операция.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2.3. В графе 3 указывается содержание регистрируемой операции.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 xml:space="preserve">2.4. В графе 4 отражаются доходы от реализации, полученные в связи с осуществлением предпринимательской деятельности, указанной в патенте, и определяемые в соответствии со </w:t>
      </w:r>
      <w:hyperlink r:id="rId8" w:history="1">
        <w:r w:rsidRPr="00AD301B">
          <w:rPr>
            <w:rFonts w:ascii="Times New Roman" w:hAnsi="Times New Roman" w:cs="Times New Roman"/>
            <w:sz w:val="24"/>
            <w:szCs w:val="24"/>
          </w:rPr>
          <w:t>статьей 249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Кодекса. Порядок определения, признания и учета доходов от реализации при патентной системе налогообложения установлен </w:t>
      </w:r>
      <w:hyperlink r:id="rId9" w:history="1">
        <w:r w:rsidRPr="00AD301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D301B">
          <w:rPr>
            <w:rFonts w:ascii="Times New Roman" w:hAnsi="Times New Roman" w:cs="Times New Roman"/>
            <w:sz w:val="24"/>
            <w:szCs w:val="24"/>
          </w:rPr>
          <w:t>5 статьи 346.53</w:t>
        </w:r>
      </w:hyperlink>
      <w:r w:rsidRPr="00AD301B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D301B" w:rsidRPr="00AD301B" w:rsidRDefault="00AD301B" w:rsidP="00AD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1B">
        <w:rPr>
          <w:rFonts w:ascii="Times New Roman" w:hAnsi="Times New Roman" w:cs="Times New Roman"/>
          <w:sz w:val="24"/>
          <w:szCs w:val="24"/>
        </w:rPr>
        <w:t>В графе 4 не учитываются доходы, полученные по иным видам предпринимательской деятельности, налогообложение которых осуществляется в соответствии с иными режимами налогообложения.</w:t>
      </w:r>
    </w:p>
    <w:p w:rsidR="00823F87" w:rsidRDefault="00823F87"/>
    <w:sectPr w:rsidR="00823F87" w:rsidSect="00A028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301B"/>
    <w:rsid w:val="001F35C4"/>
    <w:rsid w:val="00823F87"/>
    <w:rsid w:val="00AD301B"/>
    <w:rsid w:val="00C7236E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D35DEC9BB5E0A6A763AD5139AD55C32B1FA7D384601EC87A1C5839D51A8DF63B5C9BBC99F70AEtDM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D35DEC9BB5E0A6A763AD5139AD55C31B2F378324601EC87A1C5839D51A8DF63B5C9BBC99E7AAAtDM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D35DEC9BB5E0A6A763AD5139AD55C31B2F378324601EC87A1C5839D51A8DF63B5C9BBC99E7AA8tDM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5D35DEC9BB5E0A6A763AD5139AD55C31B2F378324601EC87A1C5839D51A8DF63B5C9BBC99E7AA8tDMCL" TargetMode="External"/><Relationship Id="rId10" Type="http://schemas.openxmlformats.org/officeDocument/2006/relationships/hyperlink" Target="consultantplus://offline/ref=C35D35DEC9BB5E0A6A763AD5139AD55C32B1FA7D384601EC87A1C5839D51A8DF63B5C9BDC19Bt7M8L" TargetMode="External"/><Relationship Id="rId4" Type="http://schemas.openxmlformats.org/officeDocument/2006/relationships/hyperlink" Target="consultantplus://offline/ref=C35D35DEC9BB5E0A6A763AD5139AD55C31B2F378324601EC87A1C5839D51A8DF63B5C9BBC99E7AA8tDMCL" TargetMode="External"/><Relationship Id="rId9" Type="http://schemas.openxmlformats.org/officeDocument/2006/relationships/hyperlink" Target="consultantplus://offline/ref=C35D35DEC9BB5E0A6A763AD5139AD55C32B1FA7D384601EC87A1C5839D51A8DF63B5C9BDC19At7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2017-01-24T11:13:00Z</dcterms:created>
  <dcterms:modified xsi:type="dcterms:W3CDTF">2017-01-24T11:13:00Z</dcterms:modified>
</cp:coreProperties>
</file>